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A7F9C" w14:textId="3E4A24DC" w:rsidR="003E2328" w:rsidRPr="00906357" w:rsidRDefault="003E2328" w:rsidP="003E2328">
      <w:pPr>
        <w:pStyle w:val="ConsPlusNormal"/>
        <w:widowControl/>
        <w:ind w:firstLine="709"/>
        <w:jc w:val="both"/>
        <w:rPr>
          <w:rFonts w:ascii="Times New Roman" w:hAnsi="Times New Roman" w:cs="Times New Roman"/>
          <w:sz w:val="28"/>
          <w:szCs w:val="28"/>
        </w:rPr>
      </w:pPr>
      <w:r w:rsidRPr="00906357">
        <w:rPr>
          <w:rFonts w:ascii="Times New Roman" w:hAnsi="Times New Roman" w:cs="Times New Roman"/>
          <w:sz w:val="28"/>
          <w:szCs w:val="28"/>
        </w:rPr>
        <w:t>26 июля 2006 г.</w:t>
      </w:r>
      <w:r w:rsidRPr="00906357">
        <w:rPr>
          <w:rFonts w:ascii="Times New Roman" w:hAnsi="Times New Roman" w:cs="Times New Roman"/>
          <w:sz w:val="28"/>
          <w:szCs w:val="28"/>
        </w:rPr>
        <w:tab/>
      </w:r>
      <w:r w:rsidRPr="00906357">
        <w:rPr>
          <w:rFonts w:ascii="Times New Roman" w:hAnsi="Times New Roman" w:cs="Times New Roman"/>
          <w:sz w:val="28"/>
          <w:szCs w:val="28"/>
        </w:rPr>
        <w:tab/>
      </w:r>
      <w:r w:rsidRPr="00906357">
        <w:rPr>
          <w:rFonts w:ascii="Times New Roman" w:hAnsi="Times New Roman" w:cs="Times New Roman"/>
          <w:sz w:val="28"/>
          <w:szCs w:val="28"/>
        </w:rPr>
        <w:tab/>
      </w:r>
      <w:r w:rsidRPr="00906357">
        <w:rPr>
          <w:rFonts w:ascii="Times New Roman" w:hAnsi="Times New Roman" w:cs="Times New Roman"/>
          <w:sz w:val="28"/>
          <w:szCs w:val="28"/>
        </w:rPr>
        <w:tab/>
      </w:r>
      <w:r w:rsidRPr="00906357">
        <w:rPr>
          <w:rFonts w:ascii="Times New Roman" w:hAnsi="Times New Roman" w:cs="Times New Roman"/>
          <w:sz w:val="28"/>
          <w:szCs w:val="28"/>
        </w:rPr>
        <w:tab/>
      </w:r>
      <w:r w:rsidRPr="00906357">
        <w:rPr>
          <w:rFonts w:ascii="Times New Roman" w:hAnsi="Times New Roman" w:cs="Times New Roman"/>
          <w:sz w:val="28"/>
          <w:szCs w:val="28"/>
        </w:rPr>
        <w:tab/>
      </w:r>
      <w:r w:rsidRPr="00906357">
        <w:rPr>
          <w:rFonts w:ascii="Times New Roman" w:hAnsi="Times New Roman" w:cs="Times New Roman"/>
          <w:sz w:val="28"/>
          <w:szCs w:val="28"/>
        </w:rPr>
        <w:tab/>
        <w:t>№ 135-ФЗ</w:t>
      </w:r>
    </w:p>
    <w:p w14:paraId="3D74DB1F" w14:textId="099C59F8" w:rsidR="003E2328" w:rsidRPr="00906357" w:rsidRDefault="003E2328" w:rsidP="003E2328">
      <w:pPr>
        <w:pStyle w:val="ConsPlusNormal"/>
        <w:widowControl/>
        <w:ind w:firstLine="709"/>
        <w:jc w:val="both"/>
        <w:rPr>
          <w:rFonts w:ascii="Times New Roman" w:hAnsi="Times New Roman" w:cs="Times New Roman"/>
          <w:sz w:val="24"/>
          <w:szCs w:val="24"/>
        </w:rPr>
      </w:pPr>
      <w:r w:rsidRPr="00906357">
        <w:rPr>
          <w:rFonts w:ascii="Times New Roman" w:hAnsi="Times New Roman" w:cs="Times New Roman"/>
          <w:sz w:val="24"/>
          <w:szCs w:val="24"/>
        </w:rPr>
        <w:t>__________________________________________________________________</w:t>
      </w:r>
    </w:p>
    <w:p w14:paraId="711F4999" w14:textId="77777777" w:rsidR="003E2328" w:rsidRPr="00906357" w:rsidRDefault="003E2328" w:rsidP="003E2328">
      <w:pPr>
        <w:pStyle w:val="ConsPlusNormal"/>
        <w:widowControl/>
        <w:ind w:firstLine="709"/>
        <w:jc w:val="both"/>
        <w:rPr>
          <w:rFonts w:ascii="Times New Roman" w:hAnsi="Times New Roman" w:cs="Times New Roman"/>
          <w:sz w:val="24"/>
          <w:szCs w:val="24"/>
        </w:rPr>
      </w:pPr>
    </w:p>
    <w:p w14:paraId="4F4F8E5F" w14:textId="3A15AA7A" w:rsidR="003E2328" w:rsidRPr="00906357" w:rsidRDefault="003E2328" w:rsidP="003E2328">
      <w:pPr>
        <w:pStyle w:val="ConsPlusNormal"/>
        <w:widowControl/>
        <w:ind w:firstLine="709"/>
        <w:jc w:val="center"/>
        <w:rPr>
          <w:rFonts w:ascii="Times New Roman" w:hAnsi="Times New Roman" w:cs="Times New Roman"/>
          <w:sz w:val="28"/>
          <w:szCs w:val="28"/>
        </w:rPr>
      </w:pPr>
      <w:r w:rsidRPr="00906357">
        <w:rPr>
          <w:rFonts w:ascii="Times New Roman" w:hAnsi="Times New Roman" w:cs="Times New Roman"/>
          <w:sz w:val="28"/>
          <w:szCs w:val="28"/>
        </w:rPr>
        <w:t>Федеральный закон от 26.07.2006 № 135-ФЗ</w:t>
      </w:r>
    </w:p>
    <w:p w14:paraId="30729764" w14:textId="1DEFF4BD" w:rsidR="003E2328" w:rsidRPr="00906357" w:rsidRDefault="003E2328" w:rsidP="003E2328">
      <w:pPr>
        <w:pStyle w:val="ConsPlusNormal"/>
        <w:widowControl/>
        <w:ind w:firstLine="709"/>
        <w:jc w:val="center"/>
        <w:rPr>
          <w:rFonts w:ascii="Times New Roman" w:hAnsi="Times New Roman" w:cs="Times New Roman"/>
          <w:sz w:val="28"/>
          <w:szCs w:val="28"/>
        </w:rPr>
      </w:pPr>
      <w:r w:rsidRPr="00906357">
        <w:rPr>
          <w:rFonts w:ascii="Times New Roman" w:hAnsi="Times New Roman" w:cs="Times New Roman"/>
          <w:sz w:val="28"/>
          <w:szCs w:val="28"/>
        </w:rPr>
        <w:t>(ред. от 08.03.2026, с изм. от 29.04.2026) «О защите конкуренции»</w:t>
      </w:r>
    </w:p>
    <w:p w14:paraId="629B4DF7" w14:textId="77777777" w:rsidR="003E2328" w:rsidRPr="00906357" w:rsidRDefault="003E2328" w:rsidP="003E2328">
      <w:pPr>
        <w:pStyle w:val="ConsPlusNormal"/>
        <w:widowControl/>
        <w:ind w:firstLine="709"/>
        <w:jc w:val="both"/>
        <w:rPr>
          <w:rFonts w:ascii="Times New Roman" w:hAnsi="Times New Roman" w:cs="Times New Roman"/>
          <w:sz w:val="28"/>
          <w:szCs w:val="28"/>
        </w:rPr>
      </w:pPr>
    </w:p>
    <w:p w14:paraId="202EBB7C" w14:textId="3726B284" w:rsidR="003E2328" w:rsidRPr="00906357" w:rsidRDefault="003E2328" w:rsidP="003E2328">
      <w:pPr>
        <w:pStyle w:val="ConsPlusNormal"/>
        <w:widowControl/>
        <w:ind w:firstLine="709"/>
        <w:jc w:val="both"/>
        <w:rPr>
          <w:rFonts w:ascii="Times New Roman" w:hAnsi="Times New Roman" w:cs="Times New Roman"/>
          <w:sz w:val="28"/>
          <w:szCs w:val="28"/>
        </w:rPr>
      </w:pPr>
      <w:r w:rsidRPr="00906357">
        <w:rPr>
          <w:rFonts w:ascii="Times New Roman" w:hAnsi="Times New Roman" w:cs="Times New Roman"/>
          <w:sz w:val="28"/>
          <w:szCs w:val="28"/>
        </w:rPr>
        <w:t>(ИЗВЛЕЧЕНИЕ)</w:t>
      </w:r>
    </w:p>
    <w:p w14:paraId="479A2A9E" w14:textId="77777777" w:rsidR="003E2328" w:rsidRPr="00906357" w:rsidRDefault="003E2328" w:rsidP="003E2328">
      <w:pPr>
        <w:autoSpaceDE w:val="0"/>
        <w:autoSpaceDN w:val="0"/>
        <w:adjustRightInd w:val="0"/>
        <w:spacing w:after="0" w:line="240" w:lineRule="auto"/>
        <w:ind w:firstLine="540"/>
        <w:jc w:val="both"/>
        <w:rPr>
          <w:rFonts w:ascii="Times New Roman" w:hAnsi="Times New Roman" w:cs="Times New Roman"/>
          <w:sz w:val="28"/>
          <w:szCs w:val="28"/>
        </w:rPr>
      </w:pPr>
    </w:p>
    <w:p w14:paraId="240E7E5E" w14:textId="77777777" w:rsidR="00906357" w:rsidRPr="00906357" w:rsidRDefault="00906357" w:rsidP="00906357">
      <w:pPr>
        <w:autoSpaceDE w:val="0"/>
        <w:autoSpaceDN w:val="0"/>
        <w:adjustRightInd w:val="0"/>
        <w:spacing w:after="0" w:line="240" w:lineRule="auto"/>
        <w:ind w:firstLine="540"/>
        <w:jc w:val="both"/>
        <w:outlineLvl w:val="0"/>
        <w:rPr>
          <w:rFonts w:ascii="Times New Roman" w:hAnsi="Times New Roman" w:cs="Times New Roman"/>
          <w:sz w:val="28"/>
          <w:szCs w:val="28"/>
        </w:rPr>
      </w:pPr>
      <w:r w:rsidRPr="00906357">
        <w:rPr>
          <w:rFonts w:ascii="Times New Roman" w:hAnsi="Times New Roman" w:cs="Times New Roman"/>
          <w:sz w:val="28"/>
          <w:szCs w:val="28"/>
        </w:rPr>
        <w:t>Статья 17.3. Общие требования к организации и проведению торгов</w:t>
      </w:r>
    </w:p>
    <w:p w14:paraId="5B12B490" w14:textId="77777777" w:rsidR="00906357" w:rsidRPr="00906357" w:rsidRDefault="00906357" w:rsidP="00906357">
      <w:pPr>
        <w:autoSpaceDE w:val="0"/>
        <w:autoSpaceDN w:val="0"/>
        <w:adjustRightInd w:val="0"/>
        <w:spacing w:after="0" w:line="240" w:lineRule="auto"/>
        <w:ind w:firstLine="540"/>
        <w:jc w:val="both"/>
        <w:rPr>
          <w:rFonts w:ascii="Times New Roman" w:hAnsi="Times New Roman" w:cs="Times New Roman"/>
          <w:sz w:val="28"/>
          <w:szCs w:val="28"/>
        </w:rPr>
      </w:pPr>
    </w:p>
    <w:p w14:paraId="77A5DF09" w14:textId="77777777" w:rsidR="00906357" w:rsidRPr="00906357" w:rsidRDefault="00906357" w:rsidP="00906357">
      <w:pPr>
        <w:autoSpaceDE w:val="0"/>
        <w:autoSpaceDN w:val="0"/>
        <w:adjustRightInd w:val="0"/>
        <w:spacing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 xml:space="preserve">(введена Федеральным </w:t>
      </w:r>
      <w:hyperlink r:id="rId4" w:history="1">
        <w:r w:rsidRPr="00906357">
          <w:rPr>
            <w:rFonts w:ascii="Times New Roman" w:hAnsi="Times New Roman" w:cs="Times New Roman"/>
            <w:color w:val="0000FF"/>
            <w:sz w:val="28"/>
            <w:szCs w:val="28"/>
          </w:rPr>
          <w:t>законом</w:t>
        </w:r>
      </w:hyperlink>
      <w:r w:rsidRPr="00906357">
        <w:rPr>
          <w:rFonts w:ascii="Times New Roman" w:hAnsi="Times New Roman" w:cs="Times New Roman"/>
          <w:sz w:val="28"/>
          <w:szCs w:val="28"/>
        </w:rPr>
        <w:t xml:space="preserve"> от 29.12.2025 N 577-ФЗ)</w:t>
      </w:r>
    </w:p>
    <w:p w14:paraId="316A5D99" w14:textId="77777777" w:rsidR="00906357" w:rsidRPr="00906357" w:rsidRDefault="00906357" w:rsidP="00906357">
      <w:pPr>
        <w:autoSpaceDE w:val="0"/>
        <w:autoSpaceDN w:val="0"/>
        <w:adjustRightInd w:val="0"/>
        <w:spacing w:after="0" w:line="240" w:lineRule="auto"/>
        <w:ind w:firstLine="540"/>
        <w:jc w:val="both"/>
        <w:rPr>
          <w:rFonts w:ascii="Times New Roman" w:hAnsi="Times New Roman" w:cs="Times New Roman"/>
          <w:sz w:val="28"/>
          <w:szCs w:val="28"/>
        </w:rPr>
      </w:pPr>
    </w:p>
    <w:p w14:paraId="58957DD6" w14:textId="77777777" w:rsidR="00906357" w:rsidRPr="00906357" w:rsidRDefault="00906357" w:rsidP="00906357">
      <w:pPr>
        <w:autoSpaceDE w:val="0"/>
        <w:autoSpaceDN w:val="0"/>
        <w:adjustRightInd w:val="0"/>
        <w:spacing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1. В случаях, установленных законодательством Российской Федерации, торги на право заключения договоров и (или) на право осуществления определенной деятельности проводятся с учетом общих требований к их организации и проведению, предусмотренных настоящей статьей.</w:t>
      </w:r>
    </w:p>
    <w:p w14:paraId="7A0970FA"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2. Проведение торгов основывается на принципах информационной открытости, равноправия, справедливости, состязательности, отсутствия дискриминации и необоснованных ограничений конкуренции.</w:t>
      </w:r>
    </w:p>
    <w:p w14:paraId="574018C9"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3. Торги проводятся в форме аукциона, если федеральными законами не предусмотрено их проведение в форме конкурса или в иной форме.</w:t>
      </w:r>
    </w:p>
    <w:p w14:paraId="5103BB7F"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4. Если иное не установлено федеральными законами, торги проводятся в электронной форме на электронной площадке (далее в настоящей статье - электронные торги).</w:t>
      </w:r>
    </w:p>
    <w:p w14:paraId="173CE73B"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 xml:space="preserve">5. Проведение электронных торгов обеспечивается операторами электронных площадок, включенными в утвержденный Правительством Российской Федерации </w:t>
      </w:r>
      <w:hyperlink r:id="rId5" w:history="1">
        <w:r w:rsidRPr="00906357">
          <w:rPr>
            <w:rFonts w:ascii="Times New Roman" w:hAnsi="Times New Roman" w:cs="Times New Roman"/>
            <w:color w:val="0000FF"/>
            <w:sz w:val="28"/>
            <w:szCs w:val="28"/>
          </w:rPr>
          <w:t>перечень</w:t>
        </w:r>
      </w:hyperlink>
      <w:r w:rsidRPr="00906357">
        <w:rPr>
          <w:rFonts w:ascii="Times New Roman" w:hAnsi="Times New Roman" w:cs="Times New Roman"/>
          <w:sz w:val="28"/>
          <w:szCs w:val="28"/>
        </w:rPr>
        <w:t xml:space="preserve"> операторов электронных площадок в соответствии с Федеральным </w:t>
      </w:r>
      <w:hyperlink r:id="rId6" w:history="1">
        <w:r w:rsidRPr="00906357">
          <w:rPr>
            <w:rFonts w:ascii="Times New Roman" w:hAnsi="Times New Roman" w:cs="Times New Roman"/>
            <w:color w:val="0000FF"/>
            <w:sz w:val="28"/>
            <w:szCs w:val="28"/>
          </w:rPr>
          <w:t>законом</w:t>
        </w:r>
      </w:hyperlink>
      <w:r w:rsidRPr="00906357">
        <w:rPr>
          <w:rFonts w:ascii="Times New Roman" w:hAnsi="Times New Roman" w:cs="Times New Roman"/>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в настоящей статье - оператор электронной площадки).</w:t>
      </w:r>
    </w:p>
    <w:p w14:paraId="167F9216" w14:textId="77777777" w:rsidR="00906357" w:rsidRPr="00906357" w:rsidRDefault="00906357" w:rsidP="00906357">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7"/>
        <w:gridCol w:w="113"/>
      </w:tblGrid>
      <w:tr w:rsidR="00906357" w:rsidRPr="00906357" w14:paraId="229A1614" w14:textId="7777777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14:paraId="37140CB1" w14:textId="77777777" w:rsidR="00906357" w:rsidRPr="00906357" w:rsidRDefault="00906357">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14:paraId="1737ACB5" w14:textId="77777777" w:rsidR="00906357" w:rsidRPr="00906357" w:rsidRDefault="00906357">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14:paraId="4DE95D64" w14:textId="77777777" w:rsidR="00906357" w:rsidRPr="00906357" w:rsidRDefault="00906357">
            <w:pPr>
              <w:autoSpaceDE w:val="0"/>
              <w:autoSpaceDN w:val="0"/>
              <w:adjustRightInd w:val="0"/>
              <w:spacing w:after="0" w:line="240" w:lineRule="auto"/>
              <w:jc w:val="both"/>
              <w:rPr>
                <w:rFonts w:ascii="Times New Roman" w:hAnsi="Times New Roman" w:cs="Times New Roman"/>
                <w:color w:val="392C69"/>
                <w:sz w:val="28"/>
                <w:szCs w:val="28"/>
              </w:rPr>
            </w:pPr>
            <w:r w:rsidRPr="00906357">
              <w:rPr>
                <w:rFonts w:ascii="Times New Roman" w:hAnsi="Times New Roman" w:cs="Times New Roman"/>
                <w:color w:val="392C69"/>
                <w:sz w:val="28"/>
                <w:szCs w:val="28"/>
              </w:rPr>
              <w:t>КонсультантПлюс: примечание.</w:t>
            </w:r>
          </w:p>
          <w:p w14:paraId="0CB0A3AB" w14:textId="77777777" w:rsidR="00906357" w:rsidRPr="00906357" w:rsidRDefault="00906357">
            <w:pPr>
              <w:autoSpaceDE w:val="0"/>
              <w:autoSpaceDN w:val="0"/>
              <w:adjustRightInd w:val="0"/>
              <w:spacing w:after="0" w:line="240" w:lineRule="auto"/>
              <w:jc w:val="both"/>
              <w:rPr>
                <w:rFonts w:ascii="Times New Roman" w:hAnsi="Times New Roman" w:cs="Times New Roman"/>
                <w:color w:val="392C69"/>
                <w:sz w:val="28"/>
                <w:szCs w:val="28"/>
              </w:rPr>
            </w:pPr>
            <w:r w:rsidRPr="00906357">
              <w:rPr>
                <w:rFonts w:ascii="Times New Roman" w:hAnsi="Times New Roman" w:cs="Times New Roman"/>
                <w:color w:val="392C69"/>
                <w:sz w:val="28"/>
                <w:szCs w:val="28"/>
              </w:rPr>
              <w:t>Ч. 6 ст. 17.3 вступает в силу с 01.01.2027 (</w:t>
            </w:r>
            <w:hyperlink r:id="rId7" w:history="1">
              <w:r w:rsidRPr="00906357">
                <w:rPr>
                  <w:rFonts w:ascii="Times New Roman" w:hAnsi="Times New Roman" w:cs="Times New Roman"/>
                  <w:color w:val="0000FF"/>
                  <w:sz w:val="28"/>
                  <w:szCs w:val="28"/>
                </w:rPr>
                <w:t>ФЗ</w:t>
              </w:r>
            </w:hyperlink>
            <w:r w:rsidRPr="00906357">
              <w:rPr>
                <w:rFonts w:ascii="Times New Roman" w:hAnsi="Times New Roman" w:cs="Times New Roman"/>
                <w:color w:val="392C69"/>
                <w:sz w:val="28"/>
                <w:szCs w:val="28"/>
              </w:rPr>
              <w:t xml:space="preserve"> от 29.12.2025 N 577-ФЗ).</w:t>
            </w:r>
          </w:p>
        </w:tc>
        <w:tc>
          <w:tcPr>
            <w:tcW w:w="113" w:type="dxa"/>
            <w:shd w:val="clear" w:color="auto" w:fill="F4F3F8"/>
            <w:tcMar>
              <w:top w:w="0" w:type="dxa"/>
              <w:left w:w="0" w:type="dxa"/>
              <w:bottom w:w="0" w:type="dxa"/>
              <w:right w:w="0" w:type="dxa"/>
            </w:tcMar>
          </w:tcPr>
          <w:p w14:paraId="6F837E88" w14:textId="77777777" w:rsidR="00906357" w:rsidRPr="00906357" w:rsidRDefault="00906357">
            <w:pPr>
              <w:autoSpaceDE w:val="0"/>
              <w:autoSpaceDN w:val="0"/>
              <w:adjustRightInd w:val="0"/>
              <w:spacing w:after="0" w:line="240" w:lineRule="auto"/>
              <w:jc w:val="both"/>
              <w:rPr>
                <w:rFonts w:ascii="Times New Roman" w:hAnsi="Times New Roman" w:cs="Times New Roman"/>
                <w:color w:val="392C69"/>
                <w:sz w:val="28"/>
                <w:szCs w:val="28"/>
              </w:rPr>
            </w:pPr>
          </w:p>
        </w:tc>
      </w:tr>
    </w:tbl>
    <w:p w14:paraId="0C4DBBAF" w14:textId="77777777" w:rsidR="00906357" w:rsidRPr="00906357" w:rsidRDefault="00906357" w:rsidP="00906357">
      <w:pPr>
        <w:autoSpaceDE w:val="0"/>
        <w:autoSpaceDN w:val="0"/>
        <w:adjustRightInd w:val="0"/>
        <w:spacing w:before="36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 xml:space="preserve">6. При проведении электронных торгов осуществляются мониторинг доступности (работоспособности) электронной площадки и хранение информации о такой доступности (работоспособности), фиксация, включая видеофиксацию, в режиме реального времени действий (бездействия) участников торгов, организатора торгов, оператора электронной площадки на официальном сайте торгов и электронной площадке и хранение информации </w:t>
      </w:r>
      <w:r w:rsidRPr="00906357">
        <w:rPr>
          <w:rFonts w:ascii="Times New Roman" w:hAnsi="Times New Roman" w:cs="Times New Roman"/>
          <w:sz w:val="28"/>
          <w:szCs w:val="28"/>
        </w:rPr>
        <w:lastRenderedPageBreak/>
        <w:t xml:space="preserve">об указанных действиях (бездействии), в том числе информации об электронных документах, с использованием программно-аппаратных средств государственной информационной системы, указанной в </w:t>
      </w:r>
      <w:hyperlink r:id="rId8" w:history="1">
        <w:r w:rsidRPr="00906357">
          <w:rPr>
            <w:rFonts w:ascii="Times New Roman" w:hAnsi="Times New Roman" w:cs="Times New Roman"/>
            <w:color w:val="0000FF"/>
            <w:sz w:val="28"/>
            <w:szCs w:val="28"/>
          </w:rPr>
          <w:t>части 13 статьи 4</w:t>
        </w:r>
      </w:hyperlink>
      <w:r w:rsidRPr="00906357">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в порядке, предусмотренном </w:t>
      </w:r>
      <w:hyperlink r:id="rId9" w:history="1">
        <w:r w:rsidRPr="00906357">
          <w:rPr>
            <w:rFonts w:ascii="Times New Roman" w:hAnsi="Times New Roman" w:cs="Times New Roman"/>
            <w:color w:val="0000FF"/>
            <w:sz w:val="28"/>
            <w:szCs w:val="28"/>
          </w:rPr>
          <w:t>частью 14 статьи 4</w:t>
        </w:r>
      </w:hyperlink>
      <w:r w:rsidRPr="00906357">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1D25E7D1"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7. Извещение о проведении торгов или иная форма извещения о проведении торгов, предусмотренная федеральными законами (далее в настоящей статье - извещение о проведении торгов), размещается организатором торгов на официальном сайте торгов не менее чем за пятнадцать календарных дней, но не менее чем за десять рабочих дней до дня окончания срока подачи заявок на участие в торгах в случае их проведения в форме аукциона и не менее чем за двадцать пять календарных дней до дня окончания срока подачи заявок на участие в торгах в случае их проведения в форме конкурса, если иные сроки не установлены федеральными законами.</w:t>
      </w:r>
    </w:p>
    <w:p w14:paraId="523AFC17"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8. Для участия в электронных торгах лица должны быть зарегистрированы на электронной площадке, на которой проводятся торги.</w:t>
      </w:r>
    </w:p>
    <w:p w14:paraId="3BE5DCEA"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9. Участники торгов вносят денежные средства для обеспечения заявки на участие в торгах в виде задатка, если иной способ обеспечения заявки на участие в торгах не предусмотрен федеральными законами (далее в настоящей статье - задаток), в размере, сроки и порядке, которые указаны в извещении о проведении торгов. Задаток за участие в электронных торгах вносится участниками торгов на расчетный счет оператора электронной площадки.</w:t>
      </w:r>
    </w:p>
    <w:p w14:paraId="7C58DFAF"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10. Плата за участие в электронных торгах с участников торгов, в том числе с лица, с которым по результатам проведения электронных торгов заключается договор (которому по результатам проведения электронных торгов предоставляется право на осуществление определенной деятельности), оператором электронной площадки не взимается.</w:t>
      </w:r>
    </w:p>
    <w:p w14:paraId="788A453E"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11. Организатор торгов осуществляет следующие функции:</w:t>
      </w:r>
    </w:p>
    <w:p w14:paraId="6B8F4159"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1) размещает извещение о проведении торгов на официальном сайте торгов;</w:t>
      </w:r>
    </w:p>
    <w:p w14:paraId="71CAEDD6"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2) проверяет правильность оформления поданных заявок на участие в торгах и прилагаемых к ним документов, определяет их соответствие требованиям законодательства Российской Федерации и документации о торгах;</w:t>
      </w:r>
    </w:p>
    <w:p w14:paraId="11132A59"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lastRenderedPageBreak/>
        <w:t>3) принимает решение о допуске либо об отказе в допуске лиц, подавших заявки на участие в торгах и прилагаемые к ним документы (далее также в настоящей статье - заявители), к участию в торгах;</w:t>
      </w:r>
    </w:p>
    <w:p w14:paraId="274C58B3"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4) определяет победителя торгов и подписывает протокол о результатах торгов;</w:t>
      </w:r>
    </w:p>
    <w:p w14:paraId="36F37FA1"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5) осуществляет иные функции, предусмотренные федеральными законами, актами Правительства Российской Федерации и принятыми в соответствии с ними иными нормативными правовыми актами Российской Федерации.</w:t>
      </w:r>
    </w:p>
    <w:p w14:paraId="36740A99"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 xml:space="preserve">12. Организатором торгов может выступать федеральный орган исполнительной власти, орган исполнительной власти субъекта Российской Федерации, орган местного самоуправления, уполномоченные на осуществление функций по организации и проведению торгов, или, если иное не предусмотрено федеральными законами, нормативными правовыми актами Правительства Российской Федерации, нормативными правовыми актами субъектов Российской Федерации, иное лицо, осуществляющее полномочия собственника в отношении имущества и (или) обладающее правами владения, и (или) пользования, и (или) распоряжения имуществом. Организатор торгов вправе привлечь в качестве организатора торгов специализированную организацию из перечня юридических лиц, утвержденного Правительством Российской Федерации в соответствии с </w:t>
      </w:r>
      <w:hyperlink r:id="rId10" w:history="1">
        <w:r w:rsidRPr="00906357">
          <w:rPr>
            <w:rFonts w:ascii="Times New Roman" w:hAnsi="Times New Roman" w:cs="Times New Roman"/>
            <w:color w:val="0000FF"/>
            <w:sz w:val="28"/>
            <w:szCs w:val="28"/>
          </w:rPr>
          <w:t>подпунктом 8.1 пункта 1 статьи 6</w:t>
        </w:r>
      </w:hyperlink>
      <w:r w:rsidRPr="00906357">
        <w:rPr>
          <w:rFonts w:ascii="Times New Roman" w:hAnsi="Times New Roman" w:cs="Times New Roman"/>
          <w:sz w:val="28"/>
          <w:szCs w:val="28"/>
        </w:rPr>
        <w:t xml:space="preserve"> Федерального закона от 21 декабря 2001 года N 178-ФЗ "О приватизации государственного и муниципального имущества", если иное не предусмотрено федеральными законами. Сумма вознаграждения указанных юридических лиц не входит в цену предмета торгов и подлежит выплате за счет уплачиваемых сверх цены предмета торгов средств победителя торгов либо средств лица, имеющего право на заключение договора по итогам торгов (которому по результатам проведения торгов предоставляется право на осуществление определенной деятельности), в </w:t>
      </w:r>
      <w:hyperlink r:id="rId11" w:history="1">
        <w:r w:rsidRPr="00906357">
          <w:rPr>
            <w:rFonts w:ascii="Times New Roman" w:hAnsi="Times New Roman" w:cs="Times New Roman"/>
            <w:color w:val="0000FF"/>
            <w:sz w:val="28"/>
            <w:szCs w:val="28"/>
          </w:rPr>
          <w:t>порядке и размере</w:t>
        </w:r>
      </w:hyperlink>
      <w:r w:rsidRPr="00906357">
        <w:rPr>
          <w:rFonts w:ascii="Times New Roman" w:hAnsi="Times New Roman" w:cs="Times New Roman"/>
          <w:sz w:val="28"/>
          <w:szCs w:val="28"/>
        </w:rPr>
        <w:t>, которые устанавливаются Правительством Российской Федерации. В извещении о проведении торгов должна содержаться информация о размере указанного вознаграждения.</w:t>
      </w:r>
    </w:p>
    <w:p w14:paraId="1CC75185"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13. Оператор электронной площадки при проведении электронных торгов осуществляет следующие функции:</w:t>
      </w:r>
    </w:p>
    <w:p w14:paraId="258F2F2A"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1) обеспечивает прием заявок на участие в электронных торгах и прилагаемых к ним документов и их регистрацию в электронном журнале учета заявок;</w:t>
      </w:r>
    </w:p>
    <w:p w14:paraId="01111B8E"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 xml:space="preserve">2) обеспечивает возможность подачи заявок на участие в электронных торгах, отзыва таких заявок в установленном законодательством Российской Федерации, документацией о торгах порядке и установленные сроки, а также </w:t>
      </w:r>
      <w:r w:rsidRPr="00906357">
        <w:rPr>
          <w:rFonts w:ascii="Times New Roman" w:hAnsi="Times New Roman" w:cs="Times New Roman"/>
          <w:sz w:val="28"/>
          <w:szCs w:val="28"/>
        </w:rPr>
        <w:lastRenderedPageBreak/>
        <w:t>прекращение приема таких заявок по истечении срока их приема, указанного в извещении о проведении торгов;</w:t>
      </w:r>
    </w:p>
    <w:p w14:paraId="085ABA08"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3) обеспечивает уведомление участников торгов о принятом организатором торгов решении о допуске к участию в торгах либо об отказе в допуске к участию в торгах, а также иное предусмотренное нормативными правовыми актами Российской Федерации уведомление лиц;</w:t>
      </w:r>
    </w:p>
    <w:p w14:paraId="1B9F752A"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4) обеспечивает равный доступ участников торгов к процедуре электронных торгов;</w:t>
      </w:r>
    </w:p>
    <w:p w14:paraId="4F5E8A56"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5) обеспечивает размещение на электронной площадке извещения о проведении торгов;</w:t>
      </w:r>
    </w:p>
    <w:p w14:paraId="78EDDEAA"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6) обеспечивает конфиденциальность информации о заявителях и об участниках торгов, а также бесперебойное функционирование электронной площадки и доступ к ней организатора торгов, заявителей и участников торгов в течение всего периода проведения электронных торгов;</w:t>
      </w:r>
    </w:p>
    <w:p w14:paraId="58842AF9"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7) в порядке и сроки, которые установлены организатором торгов в извещении о проведении торгов, обеспечивает возврат участникам торгов задатков и перечисление их организатору торгов в счет исполнения обязательств по итогам электронных торгов;</w:t>
      </w:r>
    </w:p>
    <w:p w14:paraId="61717F2D"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8) обеспечивает регистрацию лиц на электронной площадке;</w:t>
      </w:r>
    </w:p>
    <w:p w14:paraId="5A28D0B1"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9) осуществляет иные функции, предусмотренные федеральными законами, актами Правительства Российской Федерации и принятыми в соответствии с ними иными нормативными правовыми актами Российской Федерации.</w:t>
      </w:r>
    </w:p>
    <w:p w14:paraId="6ADAECFE"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14. Результаты проведения торгов оформляются протоколом, который в случае проведения электронных торгов составляется в форме электронного документа. Если иное не предусмотрено федеральным законом, протокол о результатах торгов в срок не позднее одного рабочего дня со дня их проведения подписывается организатором торгов, направляется победителю торгов и размещается на официальном сайте торгов.</w:t>
      </w:r>
    </w:p>
    <w:p w14:paraId="6BC2AC2E"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15. Не допускаются заключение по результатам проведения торгов договора, право на заключение которого являлось предметом торгов (далее в настоящей статье - договор), выдача по результатам проведения торгов документа о праве на осуществление определенной деятельности, которое являлось предметом торгов, ранее чем через десять дней со дня размещения протокола о результатах торгов на официальном сайте торгов.</w:t>
      </w:r>
    </w:p>
    <w:p w14:paraId="26544DBC"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lastRenderedPageBreak/>
        <w:t>16. В случае уклонения победителя торгов от заключения договора договор заключается с участником торгов, предложившим в ходе проведения торгов лучшие условия (наряду с условиями, предложенными победителем торгов), если иное не предусмотрено федеральными законами. В случае уклонения победителя торгов от получения документа о праве на осуществление определенной деятельности, которое являлось предметом торгов, указанный документ предоставляется участнику торгов, предложившему в ходе проведения торгов лучшие условия (наряду с условиями, предложенными победителем торгов), если иное не предусмотрено федеральными законами.</w:t>
      </w:r>
    </w:p>
    <w:p w14:paraId="0B36E3DE"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17. Торги признаются несостоявшимися в следующих случаях:</w:t>
      </w:r>
    </w:p>
    <w:p w14:paraId="53D06276"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1) не подано ни одной заявки на участие в торгах либо принято решение об отказе в допуске к участию в торгах всех заявителей;</w:t>
      </w:r>
    </w:p>
    <w:p w14:paraId="7C5E2626"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2) на день окончания срока подачи заявок на участие в торгах подана единственная заявка на участие в торгах;</w:t>
      </w:r>
    </w:p>
    <w:p w14:paraId="42EA857A"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3) только один заявитель допущен к участию в торгах;</w:t>
      </w:r>
    </w:p>
    <w:p w14:paraId="3A0F74F5"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4) в торгах участвовал один участник торгов;</w:t>
      </w:r>
    </w:p>
    <w:p w14:paraId="7E06BA76"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5) в ходе проведения торгов в форме аукциона ни один из участников торгов не подал предложение о цене предмета аукциона;</w:t>
      </w:r>
    </w:p>
    <w:p w14:paraId="632C2A70"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6) в иных случаях, предусмотренных федеральными законами.</w:t>
      </w:r>
    </w:p>
    <w:p w14:paraId="30650858"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bookmarkStart w:id="0" w:name="Par43"/>
      <w:bookmarkEnd w:id="0"/>
      <w:r w:rsidRPr="00906357">
        <w:rPr>
          <w:rFonts w:ascii="Times New Roman" w:hAnsi="Times New Roman" w:cs="Times New Roman"/>
          <w:sz w:val="28"/>
          <w:szCs w:val="28"/>
        </w:rPr>
        <w:t>18. В случае, если торги признаны несостоявшимися в связи с допуском к участию в торгах только одного заявителя или участием в них только одного участника торгов и при этом единственная заявка на участие в торгах и подавшее ее лицо соответствуют требованиям к участникам торгов и их предложениям, предусмотренным законодательством Российской Федерации, документацией о торгах, организатор торгов обязан заключить договор с таким лицом (предоставить такому лицу право на осуществление определенной деятельности) на условиях, которые предусмотрены документацией о торгах и заявкой на участие в торгах, поданной таким лицом, если иное не предусмотрено федеральными законами. Заключение договора (получение права на осуществление определенной деятельности) для такого лица является обязанностью, если иное не предусмотрено федеральными законами. Указанный договор (указанное право на осуществление определенной деятельности) считается заключенным (предоставленным) по результатам проведения торгов.</w:t>
      </w:r>
    </w:p>
    <w:p w14:paraId="2EFDE2E6"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 xml:space="preserve">19. Организатор торгов в случаях, если торги были признаны несостоявшимися и договор не был заключен с лицом, указанным в </w:t>
      </w:r>
      <w:hyperlink w:anchor="Par43" w:history="1">
        <w:r w:rsidRPr="00906357">
          <w:rPr>
            <w:rFonts w:ascii="Times New Roman" w:hAnsi="Times New Roman" w:cs="Times New Roman"/>
            <w:color w:val="0000FF"/>
            <w:sz w:val="28"/>
            <w:szCs w:val="28"/>
          </w:rPr>
          <w:t>части 18</w:t>
        </w:r>
      </w:hyperlink>
      <w:r w:rsidRPr="00906357">
        <w:rPr>
          <w:rFonts w:ascii="Times New Roman" w:hAnsi="Times New Roman" w:cs="Times New Roman"/>
          <w:sz w:val="28"/>
          <w:szCs w:val="28"/>
        </w:rPr>
        <w:t xml:space="preserve"> </w:t>
      </w:r>
      <w:r w:rsidRPr="00906357">
        <w:rPr>
          <w:rFonts w:ascii="Times New Roman" w:hAnsi="Times New Roman" w:cs="Times New Roman"/>
          <w:sz w:val="28"/>
          <w:szCs w:val="28"/>
        </w:rPr>
        <w:lastRenderedPageBreak/>
        <w:t xml:space="preserve">настоящей статьи (право на осуществление определенной деятельности не было предоставлено лицу, указанному в </w:t>
      </w:r>
      <w:hyperlink w:anchor="Par43" w:history="1">
        <w:r w:rsidRPr="00906357">
          <w:rPr>
            <w:rFonts w:ascii="Times New Roman" w:hAnsi="Times New Roman" w:cs="Times New Roman"/>
            <w:color w:val="0000FF"/>
            <w:sz w:val="28"/>
            <w:szCs w:val="28"/>
          </w:rPr>
          <w:t>части 18</w:t>
        </w:r>
      </w:hyperlink>
      <w:r w:rsidRPr="00906357">
        <w:rPr>
          <w:rFonts w:ascii="Times New Roman" w:hAnsi="Times New Roman" w:cs="Times New Roman"/>
          <w:sz w:val="28"/>
          <w:szCs w:val="28"/>
        </w:rPr>
        <w:t xml:space="preserve"> настоящей статьи), вправе объявить о проведении повторных торгов. При этом условия торгов могут быть изменены. Иные последствия признания торгов несостоявшимися могут быть установлены федеральными законами.</w:t>
      </w:r>
    </w:p>
    <w:p w14:paraId="5CF65D9B" w14:textId="77777777" w:rsidR="00906357" w:rsidRPr="00906357" w:rsidRDefault="00906357" w:rsidP="00906357">
      <w:pPr>
        <w:autoSpaceDE w:val="0"/>
        <w:autoSpaceDN w:val="0"/>
        <w:adjustRightInd w:val="0"/>
        <w:spacing w:before="280" w:after="0" w:line="240" w:lineRule="auto"/>
        <w:ind w:firstLine="540"/>
        <w:jc w:val="both"/>
        <w:rPr>
          <w:rFonts w:ascii="Times New Roman" w:hAnsi="Times New Roman" w:cs="Times New Roman"/>
          <w:sz w:val="28"/>
          <w:szCs w:val="28"/>
        </w:rPr>
      </w:pPr>
      <w:r w:rsidRPr="00906357">
        <w:rPr>
          <w:rFonts w:ascii="Times New Roman" w:hAnsi="Times New Roman" w:cs="Times New Roman"/>
          <w:sz w:val="28"/>
          <w:szCs w:val="28"/>
        </w:rPr>
        <w:t>20. Информация и документы о заключении договора и (или) об оформлении иных документов по результатам проведения торгов размещаются на официальном сайте торгов в порядке, установленном уполномоченным Правительством Российской Федерации федеральным органом исполнительной власти.</w:t>
      </w:r>
    </w:p>
    <w:p w14:paraId="4A4C41CB" w14:textId="77777777" w:rsidR="000039E6" w:rsidRPr="00906357" w:rsidRDefault="000039E6" w:rsidP="00906357">
      <w:pPr>
        <w:autoSpaceDE w:val="0"/>
        <w:autoSpaceDN w:val="0"/>
        <w:adjustRightInd w:val="0"/>
        <w:spacing w:after="0" w:line="240" w:lineRule="auto"/>
        <w:ind w:firstLine="540"/>
        <w:jc w:val="both"/>
        <w:outlineLvl w:val="0"/>
        <w:rPr>
          <w:sz w:val="28"/>
          <w:szCs w:val="28"/>
        </w:rPr>
      </w:pPr>
    </w:p>
    <w:sectPr w:rsidR="000039E6" w:rsidRPr="00906357" w:rsidSect="00B85E45">
      <w:pgSz w:w="11905" w:h="16838"/>
      <w:pgMar w:top="1418" w:right="567" w:bottom="850" w:left="1985"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328"/>
    <w:rsid w:val="000039E6"/>
    <w:rsid w:val="003E2328"/>
    <w:rsid w:val="009063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17295"/>
  <w15:chartTrackingRefBased/>
  <w15:docId w15:val="{4964B8D6-CAD8-45BA-BBB5-A82A4EF8F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3E232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0982&amp;dst=12197"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523131&amp;dst=10019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40982" TargetMode="External"/><Relationship Id="rId11" Type="http://schemas.openxmlformats.org/officeDocument/2006/relationships/hyperlink" Target="https://login.consultant.ru/link/?req=doc&amp;base=LAW&amp;n=537290&amp;dst=100011" TargetMode="External"/><Relationship Id="rId5" Type="http://schemas.openxmlformats.org/officeDocument/2006/relationships/hyperlink" Target="https://login.consultant.ru/link/?req=doc&amp;base=LAW&amp;n=432327&amp;dst=100008" TargetMode="External"/><Relationship Id="rId10" Type="http://schemas.openxmlformats.org/officeDocument/2006/relationships/hyperlink" Target="https://login.consultant.ru/link/?req=doc&amp;base=LAW&amp;n=527757&amp;dst=578" TargetMode="External"/><Relationship Id="rId4" Type="http://schemas.openxmlformats.org/officeDocument/2006/relationships/hyperlink" Target="https://login.consultant.ru/link/?req=doc&amp;base=LAW&amp;n=523131&amp;dst=100019" TargetMode="External"/><Relationship Id="rId9" Type="http://schemas.openxmlformats.org/officeDocument/2006/relationships/hyperlink" Target="https://login.consultant.ru/link/?req=doc&amp;base=LAW&amp;n=540982&amp;dst=3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1884</Words>
  <Characters>10742</Characters>
  <Application>Microsoft Office Word</Application>
  <DocSecurity>0</DocSecurity>
  <Lines>89</Lines>
  <Paragraphs>25</Paragraphs>
  <ScaleCrop>false</ScaleCrop>
  <Company/>
  <LinksUpToDate>false</LinksUpToDate>
  <CharactersWithSpaces>12601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2026-07-23T12:03:00Z</dcterms:created>
  <dcterms:modified xsi:type="dcterms:W3CDTF">2026-09-23T14:05:00Z</dcterms:modified>
</cp:coreProperties>
</file>